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C7694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30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E97846"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5A07F6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5A07F6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5A0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предоставлении разрешения на условно разрешённый вид разрешенного использования – «индивидуальное жилищное строительство», для земельного участка с кадастровым номером 47:07:1301049:388, расположенного по адресу: Ленинградская область, Всеволожский муниципальный район, </w:t>
      </w:r>
      <w:proofErr w:type="spellStart"/>
      <w:r w:rsidRPr="005A07F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Всеволожское</w:t>
      </w:r>
      <w:proofErr w:type="spellEnd"/>
      <w:r w:rsidRPr="005A0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поселение, г. Всеволожск</w:t>
      </w:r>
      <w:r w:rsidR="00EE0904" w:rsidRPr="00EE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904" w:rsidRPr="006B63D5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76940">
        <w:rPr>
          <w:rFonts w:ascii="Times New Roman" w:eastAsia="Calibri" w:hAnsi="Times New Roman" w:cs="Times New Roman"/>
          <w:sz w:val="26"/>
          <w:szCs w:val="26"/>
        </w:rPr>
        <w:t>2</w:t>
      </w:r>
      <w:r w:rsidR="00C44896">
        <w:rPr>
          <w:rFonts w:ascii="Times New Roman" w:eastAsia="Calibri" w:hAnsi="Times New Roman" w:cs="Times New Roman"/>
          <w:sz w:val="26"/>
          <w:szCs w:val="26"/>
        </w:rPr>
        <w:t>2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E97846">
        <w:rPr>
          <w:rFonts w:ascii="Times New Roman" w:eastAsia="Calibri" w:hAnsi="Times New Roman" w:cs="Times New Roman"/>
          <w:sz w:val="26"/>
          <w:szCs w:val="26"/>
        </w:rPr>
        <w:t>5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C76940">
        <w:rPr>
          <w:rFonts w:ascii="Times New Roman" w:eastAsia="Calibri" w:hAnsi="Times New Roman" w:cs="Times New Roman"/>
          <w:sz w:val="26"/>
          <w:szCs w:val="26"/>
        </w:rPr>
        <w:t>2</w:t>
      </w:r>
      <w:r w:rsidR="005A07F6">
        <w:rPr>
          <w:rFonts w:ascii="Times New Roman" w:eastAsia="Calibri" w:hAnsi="Times New Roman" w:cs="Times New Roman"/>
          <w:sz w:val="26"/>
          <w:szCs w:val="26"/>
        </w:rPr>
        <w:t>2</w:t>
      </w:r>
      <w:bookmarkStart w:id="0" w:name="_GoBack"/>
      <w:bookmarkEnd w:id="0"/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C76940">
        <w:rPr>
          <w:sz w:val="26"/>
          <w:szCs w:val="26"/>
        </w:rPr>
        <w:t>28</w:t>
      </w:r>
      <w:r w:rsidR="0016357B" w:rsidRPr="001A29B8">
        <w:rPr>
          <w:sz w:val="26"/>
          <w:szCs w:val="26"/>
        </w:rPr>
        <w:t>.</w:t>
      </w:r>
      <w:r w:rsidR="00BB171B">
        <w:rPr>
          <w:sz w:val="26"/>
          <w:szCs w:val="26"/>
        </w:rPr>
        <w:t>0</w:t>
      </w:r>
      <w:r w:rsidR="00E97846">
        <w:rPr>
          <w:sz w:val="26"/>
          <w:szCs w:val="26"/>
        </w:rPr>
        <w:t>4</w:t>
      </w:r>
      <w:r w:rsidR="0078170D" w:rsidRPr="001A29B8">
        <w:rPr>
          <w:sz w:val="26"/>
          <w:szCs w:val="26"/>
        </w:rPr>
        <w:t>.202</w:t>
      </w:r>
      <w:r w:rsidR="00BB171B">
        <w:rPr>
          <w:sz w:val="26"/>
          <w:szCs w:val="26"/>
        </w:rPr>
        <w:t>3</w:t>
      </w:r>
      <w:r w:rsidR="00C44896">
        <w:rPr>
          <w:sz w:val="26"/>
          <w:szCs w:val="26"/>
        </w:rPr>
        <w:t xml:space="preserve"> №</w:t>
      </w:r>
      <w:r w:rsidR="00C76940">
        <w:rPr>
          <w:sz w:val="26"/>
          <w:szCs w:val="26"/>
        </w:rPr>
        <w:t>4</w:t>
      </w:r>
      <w:r w:rsidR="005A07F6">
        <w:rPr>
          <w:sz w:val="26"/>
          <w:szCs w:val="26"/>
        </w:rPr>
        <w:t>2</w:t>
      </w:r>
      <w:r w:rsidR="00AD391B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</w:t>
      </w:r>
      <w:r w:rsidRPr="001A29B8">
        <w:rPr>
          <w:sz w:val="26"/>
          <w:szCs w:val="26"/>
        </w:rPr>
        <w:lastRenderedPageBreak/>
        <w:t xml:space="preserve">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07F6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EA2F-96F3-4D07-A1FC-63DE3603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55</cp:revision>
  <cp:lastPrinted>2023-05-30T13:52:00Z</cp:lastPrinted>
  <dcterms:created xsi:type="dcterms:W3CDTF">2021-01-18T07:00:00Z</dcterms:created>
  <dcterms:modified xsi:type="dcterms:W3CDTF">2023-05-30T13:52:00Z</dcterms:modified>
</cp:coreProperties>
</file>